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C88F6A0" w14:textId="6665837E" w:rsidR="00A41677" w:rsidRDefault="00A41677" w:rsidP="00C86E8A">
      <w:pPr>
        <w:tabs>
          <w:tab w:val="right" w:pos="9638"/>
        </w:tabs>
        <w:rPr>
          <w:rFonts w:ascii="Arial" w:hAnsi="Arial" w:cs="Arial"/>
          <w:b/>
          <w:bCs/>
          <w:sz w:val="24"/>
        </w:rPr>
      </w:pPr>
      <w:r>
        <w:rPr>
          <w:rFonts w:ascii="Arial" w:hAnsi="Arial" w:cs="Arial"/>
          <w:b/>
          <w:bCs/>
          <w:sz w:val="24"/>
        </w:rPr>
        <w:t>SA WG2 Meeting #</w:t>
      </w:r>
      <w:r w:rsidRPr="009E7C99">
        <w:rPr>
          <w:rFonts w:ascii="Arial" w:hAnsi="Arial" w:cs="Arial"/>
          <w:b/>
          <w:bCs/>
          <w:sz w:val="24"/>
        </w:rPr>
        <w:t>10</w:t>
      </w:r>
      <w:r w:rsidR="000222BA">
        <w:rPr>
          <w:rFonts w:ascii="Arial" w:hAnsi="Arial" w:cs="Arial"/>
          <w:b/>
          <w:bCs/>
          <w:sz w:val="24"/>
        </w:rPr>
        <w:t>6</w:t>
      </w:r>
      <w:r>
        <w:rPr>
          <w:rFonts w:ascii="Arial" w:hAnsi="Arial" w:cs="Arial"/>
          <w:b/>
          <w:bCs/>
          <w:sz w:val="24"/>
        </w:rPr>
        <w:tab/>
        <w:t>S2-</w:t>
      </w:r>
      <w:r w:rsidR="00B226ED" w:rsidRPr="00B226ED">
        <w:rPr>
          <w:rFonts w:ascii="Arial" w:hAnsi="Arial" w:cs="Arial"/>
          <w:b/>
          <w:bCs/>
          <w:sz w:val="24"/>
        </w:rPr>
        <w:t>144138</w:t>
      </w:r>
      <w:bookmarkStart w:id="0" w:name="_GoBack"/>
      <w:bookmarkEnd w:id="0"/>
    </w:p>
    <w:p w14:paraId="2D6A4020" w14:textId="77777777" w:rsidR="00A41677" w:rsidRDefault="00216BE9" w:rsidP="00C86E8A">
      <w:pPr>
        <w:pBdr>
          <w:bottom w:val="single" w:sz="6" w:space="0" w:color="auto"/>
        </w:pBdr>
        <w:tabs>
          <w:tab w:val="right" w:pos="9638"/>
        </w:tabs>
        <w:rPr>
          <w:rFonts w:ascii="Arial" w:hAnsi="Arial" w:cs="Arial"/>
          <w:b/>
          <w:bCs/>
          <w:sz w:val="24"/>
        </w:rPr>
      </w:pPr>
      <w:r>
        <w:rPr>
          <w:rFonts w:ascii="Arial" w:hAnsi="Arial" w:cs="Arial"/>
          <w:b/>
          <w:bCs/>
          <w:sz w:val="24"/>
          <w:szCs w:val="24"/>
        </w:rPr>
        <w:t>17</w:t>
      </w:r>
      <w:r w:rsidR="000222BA">
        <w:rPr>
          <w:rFonts w:ascii="Arial" w:hAnsi="Arial" w:cs="Arial"/>
          <w:b/>
          <w:bCs/>
          <w:sz w:val="24"/>
          <w:szCs w:val="24"/>
        </w:rPr>
        <w:t xml:space="preserve"> - 21</w:t>
      </w:r>
      <w:r>
        <w:rPr>
          <w:rFonts w:ascii="Arial" w:hAnsi="Arial" w:cs="Arial"/>
          <w:b/>
          <w:bCs/>
          <w:sz w:val="24"/>
          <w:szCs w:val="24"/>
        </w:rPr>
        <w:t xml:space="preserve"> </w:t>
      </w:r>
      <w:r w:rsidR="000222BA">
        <w:rPr>
          <w:rFonts w:ascii="Arial" w:hAnsi="Arial" w:cs="Arial"/>
          <w:b/>
          <w:bCs/>
          <w:sz w:val="24"/>
          <w:szCs w:val="24"/>
        </w:rPr>
        <w:t>Novem</w:t>
      </w:r>
      <w:r>
        <w:rPr>
          <w:rFonts w:ascii="Arial" w:hAnsi="Arial" w:cs="Arial"/>
          <w:b/>
          <w:bCs/>
          <w:sz w:val="24"/>
          <w:szCs w:val="24"/>
        </w:rPr>
        <w:t>ber 2014</w:t>
      </w:r>
      <w:r w:rsidR="00A41677">
        <w:rPr>
          <w:rFonts w:ascii="Arial" w:hAnsi="Arial" w:cs="Arial"/>
          <w:b/>
          <w:bCs/>
          <w:sz w:val="24"/>
          <w:szCs w:val="24"/>
        </w:rPr>
        <w:t>,</w:t>
      </w:r>
      <w:r>
        <w:rPr>
          <w:rFonts w:ascii="Arial" w:hAnsi="Arial" w:cs="Arial"/>
          <w:b/>
          <w:bCs/>
          <w:sz w:val="24"/>
          <w:szCs w:val="24"/>
        </w:rPr>
        <w:t xml:space="preserve"> </w:t>
      </w:r>
      <w:r w:rsidR="000222BA">
        <w:rPr>
          <w:rFonts w:ascii="Arial" w:hAnsi="Arial" w:cs="Arial"/>
          <w:b/>
          <w:bCs/>
          <w:sz w:val="24"/>
          <w:szCs w:val="24"/>
        </w:rPr>
        <w:t>San Francisco, California, USA</w:t>
      </w:r>
      <w:r w:rsidR="00A41677" w:rsidRPr="00EC7CE6">
        <w:rPr>
          <w:rFonts w:ascii="Arial" w:hAnsi="Arial" w:cs="Arial"/>
          <w:b/>
          <w:bCs/>
        </w:rPr>
        <w:tab/>
        <w:t>(</w:t>
      </w:r>
      <w:r w:rsidR="00A41677" w:rsidRPr="00EC7CE6">
        <w:rPr>
          <w:rFonts w:ascii="Arial" w:hAnsi="Arial" w:cs="Arial"/>
          <w:b/>
          <w:bCs/>
          <w:color w:val="0000FF"/>
        </w:rPr>
        <w:t>revision of S2-1</w:t>
      </w:r>
      <w:r w:rsidR="00A41677">
        <w:rPr>
          <w:rFonts w:ascii="Arial" w:hAnsi="Arial" w:cs="Arial"/>
          <w:b/>
          <w:bCs/>
          <w:color w:val="0000FF"/>
        </w:rPr>
        <w:t>4</w:t>
      </w:r>
      <w:r w:rsidR="00A41677" w:rsidRPr="00EC7CE6">
        <w:rPr>
          <w:rFonts w:ascii="Arial" w:hAnsi="Arial" w:cs="Arial"/>
          <w:b/>
          <w:bCs/>
          <w:color w:val="0000FF"/>
        </w:rPr>
        <w:t>xxxx</w:t>
      </w:r>
      <w:r w:rsidR="00A41677" w:rsidRPr="00EC7CE6">
        <w:rPr>
          <w:rFonts w:ascii="Arial" w:hAnsi="Arial" w:cs="Arial"/>
          <w:b/>
          <w:bCs/>
        </w:rPr>
        <w:t>)</w:t>
      </w:r>
    </w:p>
    <w:p w14:paraId="602AE9F5" w14:textId="77777777" w:rsidR="00C86E8A" w:rsidRDefault="00C86E8A" w:rsidP="00C86E8A">
      <w:pPr>
        <w:rPr>
          <w:rFonts w:ascii="Arial" w:hAnsi="Arial" w:cs="Arial"/>
        </w:rPr>
      </w:pPr>
    </w:p>
    <w:p w14:paraId="695E5024" w14:textId="77777777" w:rsidR="00440983" w:rsidRDefault="00440983">
      <w:pPr>
        <w:ind w:left="2127" w:hanging="2127"/>
        <w:rPr>
          <w:rFonts w:ascii="Arial" w:hAnsi="Arial" w:cs="Arial"/>
          <w:b/>
        </w:rPr>
      </w:pPr>
      <w:r>
        <w:rPr>
          <w:rFonts w:ascii="Arial" w:hAnsi="Arial" w:cs="Arial"/>
          <w:b/>
        </w:rPr>
        <w:t>Source:</w:t>
      </w:r>
      <w:r>
        <w:rPr>
          <w:rFonts w:ascii="Arial" w:hAnsi="Arial" w:cs="Arial"/>
          <w:b/>
        </w:rPr>
        <w:tab/>
      </w:r>
      <w:r w:rsidR="009E1115">
        <w:rPr>
          <w:rFonts w:ascii="Arial" w:hAnsi="Arial" w:cs="Arial"/>
          <w:b/>
        </w:rPr>
        <w:t>Samsung</w:t>
      </w:r>
    </w:p>
    <w:p w14:paraId="623563BF" w14:textId="77777777" w:rsidR="00440983" w:rsidRDefault="00440983">
      <w:pPr>
        <w:ind w:left="2127" w:hanging="2127"/>
        <w:rPr>
          <w:rFonts w:ascii="Arial" w:hAnsi="Arial" w:cs="Arial"/>
          <w:b/>
        </w:rPr>
      </w:pPr>
      <w:r>
        <w:rPr>
          <w:rFonts w:ascii="Arial" w:hAnsi="Arial" w:cs="Arial"/>
          <w:b/>
        </w:rPr>
        <w:t>Title:</w:t>
      </w:r>
      <w:r>
        <w:rPr>
          <w:rFonts w:ascii="Arial" w:hAnsi="Arial" w:cs="Arial"/>
          <w:b/>
        </w:rPr>
        <w:tab/>
      </w:r>
      <w:r w:rsidR="00164386">
        <w:rPr>
          <w:rFonts w:ascii="Arial" w:hAnsi="Arial" w:cs="Arial"/>
          <w:b/>
        </w:rPr>
        <w:t xml:space="preserve">Voice with </w:t>
      </w:r>
      <w:proofErr w:type="spellStart"/>
      <w:r w:rsidR="00164386">
        <w:rPr>
          <w:rFonts w:ascii="Arial" w:hAnsi="Arial" w:cs="Arial"/>
          <w:b/>
        </w:rPr>
        <w:t>WebRTC</w:t>
      </w:r>
      <w:proofErr w:type="spellEnd"/>
      <w:r w:rsidR="00164386">
        <w:rPr>
          <w:rFonts w:ascii="Arial" w:hAnsi="Arial" w:cs="Arial"/>
          <w:b/>
        </w:rPr>
        <w:t xml:space="preserve"> and QCI-1 handling</w:t>
      </w:r>
    </w:p>
    <w:p w14:paraId="35407B17" w14:textId="77777777" w:rsidR="00440983" w:rsidRDefault="001C5E30">
      <w:pPr>
        <w:ind w:left="2127" w:hanging="2127"/>
        <w:rPr>
          <w:rFonts w:ascii="Arial" w:hAnsi="Arial" w:cs="Arial"/>
          <w:b/>
        </w:rPr>
      </w:pPr>
      <w:r>
        <w:rPr>
          <w:rFonts w:ascii="Arial" w:hAnsi="Arial" w:cs="Arial"/>
          <w:b/>
        </w:rPr>
        <w:t>Document for:</w:t>
      </w:r>
      <w:r>
        <w:rPr>
          <w:rFonts w:ascii="Arial" w:hAnsi="Arial" w:cs="Arial"/>
          <w:b/>
        </w:rPr>
        <w:tab/>
      </w:r>
      <w:r w:rsidR="00440983">
        <w:rPr>
          <w:rFonts w:ascii="Arial" w:hAnsi="Arial" w:cs="Arial"/>
          <w:b/>
        </w:rPr>
        <w:t>Approval</w:t>
      </w:r>
    </w:p>
    <w:p w14:paraId="05BEFFFE" w14:textId="77777777"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1C5E30">
        <w:rPr>
          <w:rFonts w:ascii="Arial" w:hAnsi="Arial" w:cs="Arial"/>
          <w:b/>
        </w:rPr>
        <w:t>7.12</w:t>
      </w:r>
    </w:p>
    <w:p w14:paraId="0B6F7690" w14:textId="77777777" w:rsidR="00440983" w:rsidRDefault="00440983">
      <w:pPr>
        <w:ind w:left="2127" w:hanging="2127"/>
        <w:rPr>
          <w:rFonts w:ascii="Arial" w:hAnsi="Arial" w:cs="Arial"/>
          <w:b/>
        </w:rPr>
      </w:pPr>
      <w:r>
        <w:rPr>
          <w:rFonts w:ascii="Arial" w:hAnsi="Arial" w:cs="Arial"/>
          <w:b/>
        </w:rPr>
        <w:t>Work Item / Release:</w:t>
      </w:r>
      <w:r>
        <w:rPr>
          <w:rFonts w:ascii="Arial" w:hAnsi="Arial" w:cs="Arial"/>
          <w:b/>
        </w:rPr>
        <w:tab/>
      </w:r>
      <w:proofErr w:type="spellStart"/>
      <w:r w:rsidR="001C5E30">
        <w:rPr>
          <w:rFonts w:ascii="Arial" w:hAnsi="Arial" w:cs="Arial"/>
          <w:b/>
        </w:rPr>
        <w:t>eWebRTCi</w:t>
      </w:r>
      <w:proofErr w:type="spellEnd"/>
      <w:r w:rsidR="001C5E30">
        <w:rPr>
          <w:rFonts w:ascii="Arial" w:hAnsi="Arial" w:cs="Arial"/>
          <w:b/>
        </w:rPr>
        <w:t xml:space="preserve"> / Rel-13</w:t>
      </w:r>
    </w:p>
    <w:p w14:paraId="4E242A22" w14:textId="6FF37A70" w:rsidR="00440983" w:rsidRDefault="00440983">
      <w:pPr>
        <w:rPr>
          <w:rFonts w:ascii="Arial" w:hAnsi="Arial" w:cs="Arial"/>
          <w:i/>
        </w:rPr>
      </w:pPr>
      <w:r>
        <w:rPr>
          <w:rFonts w:ascii="Arial" w:hAnsi="Arial" w:cs="Arial"/>
          <w:i/>
        </w:rPr>
        <w:t>Abstract of the contribution:</w:t>
      </w:r>
      <w:r w:rsidR="00AB29B1">
        <w:rPr>
          <w:rFonts w:ascii="Arial" w:hAnsi="Arial" w:cs="Arial"/>
          <w:i/>
        </w:rPr>
        <w:t xml:space="preserve"> This P-CR discusses how to avoid false SRVCC trigger if QCI-1 is used by WIC for voice session.</w:t>
      </w:r>
    </w:p>
    <w:p w14:paraId="7FC65821" w14:textId="77777777" w:rsidR="000773FA" w:rsidRPr="000773FA" w:rsidRDefault="000773FA">
      <w:pPr>
        <w:rPr>
          <w:rFonts w:ascii="Arial" w:hAnsi="Arial" w:cs="Arial"/>
          <w:b/>
        </w:rPr>
      </w:pPr>
      <w:r w:rsidRPr="000773FA">
        <w:rPr>
          <w:rFonts w:ascii="Arial" w:hAnsi="Arial" w:cs="Arial"/>
          <w:b/>
        </w:rPr>
        <w:t>1. Introduction</w:t>
      </w:r>
    </w:p>
    <w:p w14:paraId="320819D2" w14:textId="77777777" w:rsidR="00AB29B1" w:rsidRDefault="00F22499">
      <w:pPr>
        <w:rPr>
          <w:rFonts w:ascii="Arial" w:hAnsi="Arial" w:cs="Arial"/>
        </w:rPr>
      </w:pPr>
      <w:r w:rsidRPr="00F22499">
        <w:rPr>
          <w:rFonts w:ascii="Arial" w:hAnsi="Arial" w:cs="Arial"/>
        </w:rPr>
        <w:t>In addition to IMS based voice services over LTE (</w:t>
      </w:r>
      <w:proofErr w:type="spellStart"/>
      <w:r w:rsidRPr="00F22499">
        <w:rPr>
          <w:rFonts w:ascii="Arial" w:hAnsi="Arial" w:cs="Arial"/>
        </w:rPr>
        <w:t>VoLTE</w:t>
      </w:r>
      <w:proofErr w:type="spellEnd"/>
      <w:r w:rsidRPr="00F22499">
        <w:rPr>
          <w:rFonts w:ascii="Arial" w:hAnsi="Arial" w:cs="Arial"/>
        </w:rPr>
        <w:t xml:space="preserve">), </w:t>
      </w:r>
      <w:proofErr w:type="spellStart"/>
      <w:r>
        <w:rPr>
          <w:rFonts w:ascii="Arial" w:hAnsi="Arial" w:cs="Arial"/>
        </w:rPr>
        <w:t>WebRTC</w:t>
      </w:r>
      <w:proofErr w:type="spellEnd"/>
      <w:r w:rsidR="00AB29B1">
        <w:rPr>
          <w:rFonts w:ascii="Arial" w:hAnsi="Arial" w:cs="Arial"/>
        </w:rPr>
        <w:t>/WIC</w:t>
      </w:r>
      <w:r>
        <w:rPr>
          <w:rFonts w:ascii="Arial" w:hAnsi="Arial" w:cs="Arial"/>
        </w:rPr>
        <w:t xml:space="preserve"> </w:t>
      </w:r>
      <w:r w:rsidRPr="00F22499">
        <w:rPr>
          <w:rFonts w:ascii="Arial" w:hAnsi="Arial" w:cs="Arial"/>
        </w:rPr>
        <w:t>can also be used to provide</w:t>
      </w:r>
      <w:r>
        <w:rPr>
          <w:rFonts w:ascii="Arial" w:hAnsi="Arial" w:cs="Arial"/>
        </w:rPr>
        <w:t xml:space="preserve"> voice communication services</w:t>
      </w:r>
      <w:r w:rsidR="00C53F6F">
        <w:rPr>
          <w:rFonts w:ascii="Arial" w:hAnsi="Arial" w:cs="Arial"/>
        </w:rPr>
        <w:t xml:space="preserve"> and </w:t>
      </w:r>
      <w:r w:rsidR="00164386" w:rsidRPr="00164386">
        <w:rPr>
          <w:rFonts w:ascii="Arial" w:hAnsi="Arial" w:cs="Arial"/>
        </w:rPr>
        <w:t>QCI-1</w:t>
      </w:r>
      <w:r w:rsidR="00C53F6F">
        <w:rPr>
          <w:rFonts w:ascii="Arial" w:hAnsi="Arial" w:cs="Arial"/>
        </w:rPr>
        <w:t xml:space="preserve"> usage</w:t>
      </w:r>
      <w:r w:rsidR="00164386" w:rsidRPr="00164386">
        <w:rPr>
          <w:rFonts w:ascii="Arial" w:hAnsi="Arial" w:cs="Arial"/>
        </w:rPr>
        <w:t xml:space="preserve"> should be allowed.</w:t>
      </w:r>
      <w:r w:rsidR="00164386">
        <w:rPr>
          <w:rFonts w:ascii="Arial" w:hAnsi="Arial" w:cs="Arial"/>
        </w:rPr>
        <w:t xml:space="preserve"> </w:t>
      </w:r>
      <w:r w:rsidR="00164386" w:rsidRPr="00164386">
        <w:rPr>
          <w:rFonts w:ascii="Arial" w:hAnsi="Arial" w:cs="Arial"/>
        </w:rPr>
        <w:t>However, UE can also be SRVCC capable</w:t>
      </w:r>
      <w:r w:rsidR="00C53F6F">
        <w:rPr>
          <w:rFonts w:ascii="Arial" w:hAnsi="Arial" w:cs="Arial"/>
        </w:rPr>
        <w:t xml:space="preserve"> and </w:t>
      </w:r>
      <w:r w:rsidR="00AB29B1">
        <w:rPr>
          <w:rFonts w:ascii="Arial" w:hAnsi="Arial" w:cs="Arial"/>
        </w:rPr>
        <w:t xml:space="preserve">the QCI-1 usage </w:t>
      </w:r>
      <w:r w:rsidR="00C53F6F">
        <w:rPr>
          <w:rFonts w:ascii="Arial" w:hAnsi="Arial" w:cs="Arial"/>
        </w:rPr>
        <w:t>may</w:t>
      </w:r>
      <w:r w:rsidR="00164386" w:rsidRPr="00164386">
        <w:rPr>
          <w:rFonts w:ascii="Arial" w:hAnsi="Arial" w:cs="Arial"/>
        </w:rPr>
        <w:t xml:space="preserve"> become a false trigger </w:t>
      </w:r>
      <w:r w:rsidR="00C53F6F">
        <w:rPr>
          <w:rFonts w:ascii="Arial" w:hAnsi="Arial" w:cs="Arial"/>
        </w:rPr>
        <w:t>for</w:t>
      </w:r>
      <w:r w:rsidR="00164386" w:rsidRPr="00164386">
        <w:rPr>
          <w:rFonts w:ascii="Arial" w:hAnsi="Arial" w:cs="Arial"/>
        </w:rPr>
        <w:t xml:space="preserve"> SRVCC</w:t>
      </w:r>
      <w:r w:rsidR="00164386">
        <w:rPr>
          <w:rFonts w:ascii="Arial" w:hAnsi="Arial" w:cs="Arial"/>
        </w:rPr>
        <w:t xml:space="preserve">. </w:t>
      </w:r>
      <w:r w:rsidR="00C53F6F">
        <w:rPr>
          <w:rFonts w:ascii="Arial" w:hAnsi="Arial" w:cs="Arial"/>
        </w:rPr>
        <w:t xml:space="preserve">For example, </w:t>
      </w:r>
      <w:proofErr w:type="spellStart"/>
      <w:r w:rsidR="00C53F6F" w:rsidRPr="00C53F6F">
        <w:rPr>
          <w:rFonts w:ascii="Arial" w:hAnsi="Arial" w:cs="Arial"/>
        </w:rPr>
        <w:t>eNB</w:t>
      </w:r>
      <w:proofErr w:type="spellEnd"/>
      <w:r w:rsidR="00C53F6F" w:rsidRPr="00C53F6F">
        <w:rPr>
          <w:rFonts w:ascii="Arial" w:hAnsi="Arial" w:cs="Arial"/>
        </w:rPr>
        <w:t xml:space="preserve"> determines the handover to CS RAT is required based on the presence of QCI-1 bearer and</w:t>
      </w:r>
      <w:r w:rsidR="00C53F6F">
        <w:rPr>
          <w:rFonts w:ascii="Arial" w:hAnsi="Arial" w:cs="Arial"/>
        </w:rPr>
        <w:t xml:space="preserve"> </w:t>
      </w:r>
      <w:r w:rsidR="00AB29B1">
        <w:rPr>
          <w:rFonts w:ascii="Arial" w:hAnsi="Arial" w:cs="Arial"/>
        </w:rPr>
        <w:t>“</w:t>
      </w:r>
      <w:r w:rsidR="00C53F6F">
        <w:rPr>
          <w:rFonts w:ascii="Arial" w:hAnsi="Arial" w:cs="Arial"/>
        </w:rPr>
        <w:t>SRVCC possible indication</w:t>
      </w:r>
      <w:r w:rsidR="00AB29B1">
        <w:rPr>
          <w:rFonts w:ascii="Arial" w:hAnsi="Arial" w:cs="Arial"/>
        </w:rPr>
        <w:t>”</w:t>
      </w:r>
      <w:r w:rsidR="00C53F6F">
        <w:rPr>
          <w:rFonts w:ascii="Arial" w:hAnsi="Arial" w:cs="Arial"/>
        </w:rPr>
        <w:t xml:space="preserve"> from MME but the voice session is initiated by WIC which means the </w:t>
      </w:r>
      <w:r w:rsidR="00AB29B1">
        <w:rPr>
          <w:rFonts w:ascii="Arial" w:hAnsi="Arial" w:cs="Arial"/>
        </w:rPr>
        <w:t xml:space="preserve">QCI-1 bearer will be deactivated by MME and </w:t>
      </w:r>
      <w:r w:rsidR="00C53F6F">
        <w:rPr>
          <w:rFonts w:ascii="Arial" w:hAnsi="Arial" w:cs="Arial"/>
        </w:rPr>
        <w:t xml:space="preserve">UE will not be able to </w:t>
      </w:r>
      <w:r w:rsidR="00AB29B1">
        <w:rPr>
          <w:rFonts w:ascii="Arial" w:hAnsi="Arial" w:cs="Arial"/>
        </w:rPr>
        <w:t xml:space="preserve">continue the voice session over PS RAT or convert the voice to CS RAB like </w:t>
      </w:r>
      <w:r w:rsidR="00C53F6F">
        <w:rPr>
          <w:rFonts w:ascii="Arial" w:hAnsi="Arial" w:cs="Arial"/>
        </w:rPr>
        <w:t>SRVCC operation</w:t>
      </w:r>
      <w:r w:rsidR="00AB29B1">
        <w:rPr>
          <w:rFonts w:ascii="Arial" w:hAnsi="Arial" w:cs="Arial"/>
        </w:rPr>
        <w:t>.</w:t>
      </w:r>
    </w:p>
    <w:p w14:paraId="772FF44E" w14:textId="0614A39A" w:rsidR="002C3C1F" w:rsidRDefault="00164386">
      <w:pPr>
        <w:rPr>
          <w:rFonts w:ascii="Arial" w:hAnsi="Arial" w:cs="Arial"/>
        </w:rPr>
      </w:pPr>
      <w:r>
        <w:rPr>
          <w:rFonts w:ascii="Arial" w:hAnsi="Arial" w:cs="Arial"/>
        </w:rPr>
        <w:t>This paper discussed how to avoid SRVCC false trigger.</w:t>
      </w:r>
    </w:p>
    <w:p w14:paraId="05BC3A2B" w14:textId="77777777" w:rsidR="00BB53C1" w:rsidRDefault="00BB53C1">
      <w:pPr>
        <w:rPr>
          <w:rFonts w:ascii="Arial" w:hAnsi="Arial" w:cs="Arial"/>
          <w:b/>
        </w:rPr>
      </w:pPr>
      <w:r>
        <w:rPr>
          <w:rFonts w:ascii="Arial" w:hAnsi="Arial" w:cs="Arial"/>
          <w:b/>
        </w:rPr>
        <w:t>2</w:t>
      </w:r>
      <w:r w:rsidRPr="000773FA">
        <w:rPr>
          <w:rFonts w:ascii="Arial" w:hAnsi="Arial" w:cs="Arial"/>
          <w:b/>
        </w:rPr>
        <w:t xml:space="preserve">. </w:t>
      </w:r>
      <w:r>
        <w:rPr>
          <w:rFonts w:ascii="Arial" w:hAnsi="Arial" w:cs="Arial"/>
          <w:b/>
        </w:rPr>
        <w:t>Proposal</w:t>
      </w:r>
    </w:p>
    <w:p w14:paraId="21103168" w14:textId="77777777" w:rsidR="00BB53C1" w:rsidRDefault="00BB53C1">
      <w:pPr>
        <w:rPr>
          <w:rFonts w:ascii="Arial" w:hAnsi="Arial" w:cs="Arial"/>
        </w:rPr>
      </w:pPr>
      <w:proofErr w:type="gramStart"/>
      <w:r>
        <w:rPr>
          <w:rFonts w:ascii="Arial" w:hAnsi="Arial" w:cs="Arial"/>
        </w:rPr>
        <w:t>To add the following to TR 23.706.</w:t>
      </w:r>
      <w:proofErr w:type="gramEnd"/>
    </w:p>
    <w:p w14:paraId="05441596" w14:textId="77777777" w:rsidR="00BB53C1" w:rsidRDefault="00BB53C1">
      <w:pPr>
        <w:rPr>
          <w:rFonts w:ascii="Arial" w:hAnsi="Arial" w:cs="Arial"/>
        </w:rPr>
      </w:pPr>
      <w:r w:rsidRPr="00BB53C1">
        <w:rPr>
          <w:rFonts w:ascii="Arial" w:hAnsi="Arial" w:cs="Arial"/>
          <w:highlight w:val="yellow"/>
        </w:rPr>
        <w:t>*** begin next texts ***</w:t>
      </w:r>
    </w:p>
    <w:p w14:paraId="1FFCD4D1" w14:textId="37702A09" w:rsidR="00BB53C1" w:rsidRPr="00CA4F10" w:rsidRDefault="00BB53C1" w:rsidP="00BB53C1">
      <w:pPr>
        <w:pStyle w:val="Heading3"/>
        <w:rPr>
          <w:lang w:eastAsia="zh-CN"/>
        </w:rPr>
      </w:pPr>
      <w:bookmarkStart w:id="1" w:name="_Toc402711917"/>
      <w:r>
        <w:rPr>
          <w:rFonts w:hint="eastAsia"/>
          <w:lang w:eastAsia="zh-CN"/>
        </w:rPr>
        <w:t>7</w:t>
      </w:r>
      <w:r>
        <w:t>.2.</w:t>
      </w:r>
      <w:r>
        <w:rPr>
          <w:lang w:eastAsia="zh-CN"/>
        </w:rPr>
        <w:t>x</w:t>
      </w:r>
      <w:r>
        <w:rPr>
          <w:rFonts w:hint="eastAsia"/>
          <w:lang w:eastAsia="zh-CN"/>
        </w:rPr>
        <w:tab/>
      </w:r>
      <w:r>
        <w:t xml:space="preserve">Solution </w:t>
      </w:r>
      <w:r>
        <w:rPr>
          <w:rFonts w:hint="eastAsia"/>
          <w:lang w:eastAsia="zh-CN"/>
        </w:rPr>
        <w:t>2</w:t>
      </w:r>
      <w:r>
        <w:t xml:space="preserve">: </w:t>
      </w:r>
      <w:r w:rsidR="00676C91">
        <w:rPr>
          <w:lang w:eastAsia="zh-CN"/>
        </w:rPr>
        <w:t>Avoiding SRVCC false trigger</w:t>
      </w:r>
      <w:bookmarkEnd w:id="1"/>
    </w:p>
    <w:p w14:paraId="417D07AE" w14:textId="77777777" w:rsidR="00BB53C1" w:rsidRDefault="00BB53C1" w:rsidP="00BB53C1">
      <w:pPr>
        <w:pStyle w:val="Heading4"/>
      </w:pPr>
      <w:bookmarkStart w:id="2" w:name="_Toc402711918"/>
      <w:r>
        <w:rPr>
          <w:rFonts w:hint="eastAsia"/>
          <w:lang w:eastAsia="zh-CN"/>
        </w:rPr>
        <w:t>7</w:t>
      </w:r>
      <w:r>
        <w:t>.2.</w:t>
      </w:r>
      <w:r>
        <w:rPr>
          <w:lang w:eastAsia="zh-CN"/>
        </w:rPr>
        <w:t>x</w:t>
      </w:r>
      <w:r>
        <w:t>.1</w:t>
      </w:r>
      <w:r>
        <w:tab/>
        <w:t>Solution Principles</w:t>
      </w:r>
      <w:bookmarkEnd w:id="2"/>
    </w:p>
    <w:p w14:paraId="0711EE6C" w14:textId="69FF593C" w:rsidR="00D86CC2" w:rsidRDefault="00D86CC2" w:rsidP="002152A0">
      <w:proofErr w:type="spellStart"/>
      <w:proofErr w:type="gramStart"/>
      <w:r w:rsidRPr="00D86CC2">
        <w:t>eNB</w:t>
      </w:r>
      <w:proofErr w:type="spellEnd"/>
      <w:proofErr w:type="gramEnd"/>
      <w:r w:rsidRPr="00D86CC2">
        <w:t xml:space="preserve"> will not trigger the SRVCC handover if certain pre-condition(s) are not met</w:t>
      </w:r>
      <w:r>
        <w:t xml:space="preserve"> </w:t>
      </w:r>
      <w:r w:rsidR="00E7033D">
        <w:t>and/</w:t>
      </w:r>
      <w:r>
        <w:t xml:space="preserve">or an explicit indication is given to </w:t>
      </w:r>
      <w:proofErr w:type="spellStart"/>
      <w:r>
        <w:t>eNB</w:t>
      </w:r>
      <w:proofErr w:type="spellEnd"/>
      <w:r>
        <w:t xml:space="preserve"> that SRVCC is not allowed</w:t>
      </w:r>
      <w:r w:rsidRPr="00D86CC2">
        <w:t xml:space="preserve">. </w:t>
      </w:r>
    </w:p>
    <w:p w14:paraId="58AC770E" w14:textId="76E069AA" w:rsidR="008C5789" w:rsidRDefault="00D86CC2" w:rsidP="002152A0">
      <w:r>
        <w:t>Option 1: If voice session is initiated by WIC, UE ensure</w:t>
      </w:r>
      <w:r w:rsidR="00186BF2">
        <w:t>s</w:t>
      </w:r>
      <w:r>
        <w:t xml:space="preserve"> its SRVCC </w:t>
      </w:r>
      <w:r w:rsidR="00AC0763">
        <w:t xml:space="preserve">network </w:t>
      </w:r>
      <w:r>
        <w:t xml:space="preserve">capability is </w:t>
      </w:r>
      <w:r w:rsidR="00A03753">
        <w:t xml:space="preserve">set to </w:t>
      </w:r>
      <w:r w:rsidR="00262688">
        <w:t>“</w:t>
      </w:r>
      <w:r w:rsidR="00A03753">
        <w:t>not support</w:t>
      </w:r>
      <w:r w:rsidR="00262688">
        <w:t>”</w:t>
      </w:r>
      <w:r w:rsidR="00A03753">
        <w:t xml:space="preserve"> in the MME. This can be done by UE initiating TAU with an indication that SRVCC is not supported. However, this will not take effect until the next IDLE to ACTIVE state because “SRVCC operation possible” indication </w:t>
      </w:r>
      <w:r w:rsidR="008C5789">
        <w:t xml:space="preserve">is only given in S1 AP Initial Context Setup Request. </w:t>
      </w:r>
    </w:p>
    <w:p w14:paraId="544EA54D" w14:textId="55BA8B4D" w:rsidR="009A0329" w:rsidRDefault="009A0329" w:rsidP="002152A0">
      <w:r>
        <w:t xml:space="preserve">Option 2: When QCI-1 is </w:t>
      </w:r>
      <w:r w:rsidR="00186BF2">
        <w:t xml:space="preserve">established for a session handled by </w:t>
      </w:r>
      <w:proofErr w:type="spellStart"/>
      <w:r>
        <w:t>eP</w:t>
      </w:r>
      <w:proofErr w:type="spellEnd"/>
      <w:r>
        <w:t xml:space="preserve">-CSCF, PCRF includes an explicit indication in addition to QCI-1 (similar to video SRVCC) to indicate to </w:t>
      </w:r>
      <w:proofErr w:type="spellStart"/>
      <w:r>
        <w:t>eNB</w:t>
      </w:r>
      <w:proofErr w:type="spellEnd"/>
      <w:r>
        <w:t xml:space="preserve"> that this QCI-1 is not eligible for SRVCC.</w:t>
      </w:r>
    </w:p>
    <w:p w14:paraId="700AED0F" w14:textId="707EF71D" w:rsidR="009A0329" w:rsidRDefault="009A0329" w:rsidP="002152A0">
      <w:r>
        <w:t>Option 3: define new QCI-x with same characteristic as QCI-1</w:t>
      </w:r>
      <w:r w:rsidR="00186BF2">
        <w:t>.</w:t>
      </w:r>
    </w:p>
    <w:p w14:paraId="1F4AF831" w14:textId="4623A422" w:rsidR="00F356E5" w:rsidRDefault="00F356E5" w:rsidP="002152A0">
      <w:pPr>
        <w:rPr>
          <w:iCs/>
          <w:lang w:val="en-US" w:eastAsia="ko-KR"/>
        </w:rPr>
      </w:pPr>
      <w:r>
        <w:t xml:space="preserve">Option 4: </w:t>
      </w:r>
      <w:r w:rsidR="00186BF2">
        <w:t>When MME receives the</w:t>
      </w:r>
      <w:r>
        <w:t xml:space="preserve"> SRVCC handover required</w:t>
      </w:r>
      <w:r w:rsidR="00186BF2">
        <w:t xml:space="preserve"> message </w:t>
      </w:r>
      <w:r>
        <w:t xml:space="preserve">from </w:t>
      </w:r>
      <w:r w:rsidR="00186BF2">
        <w:t xml:space="preserve">source </w:t>
      </w:r>
      <w:proofErr w:type="spellStart"/>
      <w:r>
        <w:t>eNB</w:t>
      </w:r>
      <w:proofErr w:type="spellEnd"/>
      <w:r>
        <w:t xml:space="preserve">, MME </w:t>
      </w:r>
      <w:r w:rsidR="00186BF2">
        <w:t xml:space="preserve">determines </w:t>
      </w:r>
      <w:r>
        <w:t>that</w:t>
      </w:r>
      <w:r w:rsidR="00186BF2">
        <w:t xml:space="preserve"> this</w:t>
      </w:r>
      <w:r>
        <w:t xml:space="preserve"> QCI-1 is not established for the </w:t>
      </w:r>
      <w:r w:rsidRPr="00FE1ECC">
        <w:rPr>
          <w:rFonts w:hint="eastAsia"/>
          <w:iCs/>
          <w:lang w:val="en-US" w:eastAsia="ko-KR"/>
        </w:rPr>
        <w:t xml:space="preserve">PDN connection </w:t>
      </w:r>
      <w:r w:rsidR="00186BF2">
        <w:rPr>
          <w:iCs/>
          <w:lang w:val="en-US" w:eastAsia="ko-KR"/>
        </w:rPr>
        <w:t xml:space="preserve">that is </w:t>
      </w:r>
      <w:r w:rsidRPr="00FE1ECC">
        <w:rPr>
          <w:iCs/>
          <w:lang w:val="en-US" w:eastAsia="ko-KR"/>
        </w:rPr>
        <w:t>established</w:t>
      </w:r>
      <w:r w:rsidRPr="00FE1ECC">
        <w:rPr>
          <w:rFonts w:hint="eastAsia"/>
          <w:iCs/>
          <w:lang w:val="en-US" w:eastAsia="ko-KR"/>
        </w:rPr>
        <w:t xml:space="preserve"> for well-known IMS APN</w:t>
      </w:r>
      <w:r>
        <w:rPr>
          <w:iCs/>
          <w:lang w:val="en-US" w:eastAsia="ko-KR"/>
        </w:rPr>
        <w:t xml:space="preserve"> and reject</w:t>
      </w:r>
      <w:r w:rsidR="00186BF2">
        <w:rPr>
          <w:iCs/>
          <w:lang w:val="en-US" w:eastAsia="ko-KR"/>
        </w:rPr>
        <w:t>s</w:t>
      </w:r>
      <w:r>
        <w:rPr>
          <w:iCs/>
          <w:lang w:val="en-US" w:eastAsia="ko-KR"/>
        </w:rPr>
        <w:t xml:space="preserve"> the SRVCC handover request or perform the PS handover including the QCI-1.</w:t>
      </w:r>
    </w:p>
    <w:p w14:paraId="032A9E3F" w14:textId="64EFAEA2" w:rsidR="00F356E5" w:rsidRDefault="00F356E5" w:rsidP="002152A0">
      <w:pPr>
        <w:rPr>
          <w:iCs/>
          <w:lang w:val="en-US" w:eastAsia="ko-KR"/>
        </w:rPr>
      </w:pPr>
      <w:r>
        <w:rPr>
          <w:iCs/>
          <w:lang w:val="en-US" w:eastAsia="ko-KR"/>
        </w:rPr>
        <w:t xml:space="preserve">Option 5: During dedicated bearer setup with QCI-1, MME aware that this is not related to the well-know IMS APN and </w:t>
      </w:r>
      <w:r w:rsidR="00F108A5">
        <w:rPr>
          <w:iCs/>
          <w:lang w:val="en-US" w:eastAsia="ko-KR"/>
        </w:rPr>
        <w:t>gives</w:t>
      </w:r>
      <w:r>
        <w:rPr>
          <w:iCs/>
          <w:lang w:val="en-US" w:eastAsia="ko-KR"/>
        </w:rPr>
        <w:t xml:space="preserve"> an explicit indication to </w:t>
      </w:r>
      <w:proofErr w:type="spellStart"/>
      <w:r>
        <w:rPr>
          <w:iCs/>
          <w:lang w:val="en-US" w:eastAsia="ko-KR"/>
        </w:rPr>
        <w:t>eNB</w:t>
      </w:r>
      <w:proofErr w:type="spellEnd"/>
      <w:r>
        <w:rPr>
          <w:iCs/>
          <w:lang w:val="en-US" w:eastAsia="ko-KR"/>
        </w:rPr>
        <w:t xml:space="preserve"> that this bearer is not eligible for SRVCC.</w:t>
      </w:r>
    </w:p>
    <w:p w14:paraId="1500AE1A" w14:textId="12884D38" w:rsidR="00681A28" w:rsidRDefault="00681A28" w:rsidP="00BB53C1"/>
    <w:p w14:paraId="6804E2B3" w14:textId="77777777" w:rsidR="00BB53C1" w:rsidRDefault="00BB53C1" w:rsidP="00BB53C1">
      <w:pPr>
        <w:pStyle w:val="Heading2"/>
      </w:pPr>
      <w:bookmarkStart w:id="3" w:name="_Toc402711923"/>
      <w:r>
        <w:t>7</w:t>
      </w:r>
      <w:r w:rsidRPr="00970C49">
        <w:t>.3</w:t>
      </w:r>
      <w:r>
        <w:tab/>
      </w:r>
      <w:r w:rsidRPr="00970C49">
        <w:t>Evaluation</w:t>
      </w:r>
      <w:bookmarkEnd w:id="3"/>
    </w:p>
    <w:p w14:paraId="5DBAE247" w14:textId="65879DED" w:rsidR="00004AE4" w:rsidRPr="00004AE4" w:rsidRDefault="00004AE4" w:rsidP="00004AE4">
      <w:r>
        <w:t>TBD</w:t>
      </w:r>
    </w:p>
    <w:p w14:paraId="1E79CD50" w14:textId="77777777" w:rsidR="00BB53C1" w:rsidRDefault="00BB53C1" w:rsidP="00BB53C1">
      <w:pPr>
        <w:pStyle w:val="Heading2"/>
      </w:pPr>
      <w:bookmarkStart w:id="4" w:name="_Toc402711924"/>
      <w:r>
        <w:lastRenderedPageBreak/>
        <w:t>7</w:t>
      </w:r>
      <w:r w:rsidRPr="00970C49">
        <w:t>.4</w:t>
      </w:r>
      <w:r>
        <w:tab/>
      </w:r>
      <w:r w:rsidRPr="00970C49">
        <w:t>Conclusion</w:t>
      </w:r>
      <w:bookmarkEnd w:id="4"/>
    </w:p>
    <w:p w14:paraId="1EC268AA" w14:textId="2335F3E3" w:rsidR="00004AE4" w:rsidRPr="00004AE4" w:rsidRDefault="00004AE4" w:rsidP="00004AE4">
      <w:r>
        <w:t>TBD</w:t>
      </w:r>
    </w:p>
    <w:p w14:paraId="41C63933" w14:textId="77777777" w:rsidR="00BB53C1" w:rsidRPr="00BB53C1" w:rsidRDefault="00BB53C1">
      <w:pPr>
        <w:rPr>
          <w:rFonts w:ascii="Arial" w:hAnsi="Arial" w:cs="Arial"/>
        </w:rPr>
      </w:pPr>
    </w:p>
    <w:sectPr w:rsidR="00BB53C1" w:rsidRPr="00BB53C1">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426CA57" w14:textId="77777777" w:rsidR="00F05343" w:rsidRDefault="00F05343">
      <w:r>
        <w:separator/>
      </w:r>
    </w:p>
    <w:p w14:paraId="2F2D150B" w14:textId="77777777" w:rsidR="00F05343" w:rsidRDefault="00F05343"/>
  </w:endnote>
  <w:endnote w:type="continuationSeparator" w:id="0">
    <w:p w14:paraId="11040804" w14:textId="77777777" w:rsidR="00F05343" w:rsidRDefault="00F05343">
      <w:r>
        <w:continuationSeparator/>
      </w:r>
    </w:p>
    <w:p w14:paraId="62B443EA" w14:textId="77777777" w:rsidR="00F05343" w:rsidRDefault="00F0534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CBE7CFD" w14:textId="77777777" w:rsidR="009A0329" w:rsidRDefault="009A0329">
    <w:pPr>
      <w:framePr w:w="646" w:h="244" w:hRule="exact" w:wrap="around" w:vAnchor="text" w:hAnchor="margin" w:y="-5"/>
      <w:rPr>
        <w:rFonts w:ascii="Arial" w:hAnsi="Arial" w:cs="Arial"/>
        <w:b/>
        <w:bCs/>
        <w:i/>
        <w:iCs/>
        <w:sz w:val="18"/>
      </w:rPr>
    </w:pPr>
    <w:r>
      <w:rPr>
        <w:rFonts w:ascii="Arial" w:hAnsi="Arial" w:cs="Arial"/>
        <w:b/>
        <w:bCs/>
        <w:i/>
        <w:iCs/>
        <w:sz w:val="18"/>
      </w:rPr>
      <w:t>3GPP</w:t>
    </w:r>
  </w:p>
  <w:p w14:paraId="22CDADCF" w14:textId="77777777" w:rsidR="009A0329" w:rsidRDefault="009A032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791A502" w14:textId="77777777" w:rsidR="009A0329" w:rsidRDefault="009A0329"/>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70D48C8" w14:textId="77777777" w:rsidR="00F05343" w:rsidRDefault="00F05343">
      <w:r>
        <w:separator/>
      </w:r>
    </w:p>
    <w:p w14:paraId="23ADD9C1" w14:textId="77777777" w:rsidR="00F05343" w:rsidRDefault="00F05343"/>
  </w:footnote>
  <w:footnote w:type="continuationSeparator" w:id="0">
    <w:p w14:paraId="6CEC3B5E" w14:textId="77777777" w:rsidR="00F05343" w:rsidRDefault="00F05343">
      <w:r>
        <w:continuationSeparator/>
      </w:r>
    </w:p>
    <w:p w14:paraId="3DAE6F79" w14:textId="77777777" w:rsidR="00F05343" w:rsidRDefault="00F05343"/>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16B07DE" w14:textId="77777777" w:rsidR="009A0329" w:rsidRDefault="009A0329"/>
  <w:p w14:paraId="421995DB" w14:textId="77777777" w:rsidR="009A0329" w:rsidRDefault="009A0329"/>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4E89AA" w14:textId="77777777" w:rsidR="009A0329" w:rsidRDefault="009A0329">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5B041DEA" w14:textId="77777777" w:rsidR="009A0329" w:rsidRDefault="009A0329">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B226ED">
      <w:rPr>
        <w:rFonts w:ascii="Arial" w:hAnsi="Arial" w:cs="Arial"/>
        <w:b/>
        <w:bCs/>
        <w:noProof/>
        <w:sz w:val="18"/>
      </w:rPr>
      <w:t>2</w:t>
    </w:r>
    <w:r>
      <w:rPr>
        <w:rFonts w:ascii="Arial" w:hAnsi="Arial" w:cs="Arial"/>
        <w:b/>
        <w:bCs/>
        <w:sz w:val="18"/>
      </w:rPr>
      <w:fldChar w:fldCharType="end"/>
    </w:r>
  </w:p>
  <w:p w14:paraId="47FC8E12" w14:textId="77777777" w:rsidR="009A0329" w:rsidRDefault="009A0329"/>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656E9DD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F0DA6FF2"/>
    <w:lvl w:ilvl="0">
      <w:start w:val="1"/>
      <w:numFmt w:val="decimal"/>
      <w:lvlText w:val="%1."/>
      <w:lvlJc w:val="left"/>
      <w:pPr>
        <w:tabs>
          <w:tab w:val="num" w:pos="1492"/>
        </w:tabs>
        <w:ind w:left="1492" w:hanging="360"/>
      </w:pPr>
    </w:lvl>
  </w:abstractNum>
  <w:abstractNum w:abstractNumId="2">
    <w:nsid w:val="FFFFFF7D"/>
    <w:multiLevelType w:val="singleLevel"/>
    <w:tmpl w:val="BC186F36"/>
    <w:lvl w:ilvl="0">
      <w:start w:val="1"/>
      <w:numFmt w:val="decimal"/>
      <w:lvlText w:val="%1."/>
      <w:lvlJc w:val="left"/>
      <w:pPr>
        <w:tabs>
          <w:tab w:val="num" w:pos="1209"/>
        </w:tabs>
        <w:ind w:left="1209" w:hanging="360"/>
      </w:pPr>
    </w:lvl>
  </w:abstractNum>
  <w:abstractNum w:abstractNumId="3">
    <w:nsid w:val="FFFFFF7E"/>
    <w:multiLevelType w:val="singleLevel"/>
    <w:tmpl w:val="F65CBCBA"/>
    <w:lvl w:ilvl="0">
      <w:start w:val="1"/>
      <w:numFmt w:val="decimal"/>
      <w:lvlText w:val="%1."/>
      <w:lvlJc w:val="left"/>
      <w:pPr>
        <w:tabs>
          <w:tab w:val="num" w:pos="926"/>
        </w:tabs>
        <w:ind w:left="926" w:hanging="360"/>
      </w:pPr>
    </w:lvl>
  </w:abstractNum>
  <w:abstractNum w:abstractNumId="4">
    <w:nsid w:val="FFFFFF7F"/>
    <w:multiLevelType w:val="singleLevel"/>
    <w:tmpl w:val="71E00D64"/>
    <w:lvl w:ilvl="0">
      <w:start w:val="1"/>
      <w:numFmt w:val="decimal"/>
      <w:lvlText w:val="%1."/>
      <w:lvlJc w:val="left"/>
      <w:pPr>
        <w:tabs>
          <w:tab w:val="num" w:pos="643"/>
        </w:tabs>
        <w:ind w:left="643" w:hanging="360"/>
      </w:pPr>
    </w:lvl>
  </w:abstractNum>
  <w:abstractNum w:abstractNumId="5">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6">
    <w:nsid w:val="FFFFFF81"/>
    <w:multiLevelType w:val="singleLevel"/>
    <w:tmpl w:val="ABA42AFC"/>
    <w:lvl w:ilvl="0">
      <w:start w:val="1"/>
      <w:numFmt w:val="bullet"/>
      <w:lvlText w:val=""/>
      <w:lvlJc w:val="left"/>
      <w:pPr>
        <w:tabs>
          <w:tab w:val="num" w:pos="1209"/>
        </w:tabs>
        <w:ind w:left="1209" w:hanging="360"/>
      </w:pPr>
      <w:rPr>
        <w:rFonts w:ascii="Symbol" w:hAnsi="Symbol" w:hint="default"/>
      </w:rPr>
    </w:lvl>
  </w:abstractNum>
  <w:abstractNum w:abstractNumId="7">
    <w:nsid w:val="FFFFFF82"/>
    <w:multiLevelType w:val="singleLevel"/>
    <w:tmpl w:val="34A64268"/>
    <w:lvl w:ilvl="0">
      <w:start w:val="1"/>
      <w:numFmt w:val="bullet"/>
      <w:lvlText w:val=""/>
      <w:lvlJc w:val="left"/>
      <w:pPr>
        <w:tabs>
          <w:tab w:val="num" w:pos="926"/>
        </w:tabs>
        <w:ind w:left="926" w:hanging="360"/>
      </w:pPr>
      <w:rPr>
        <w:rFonts w:ascii="Symbol" w:hAnsi="Symbol" w:hint="default"/>
      </w:rPr>
    </w:lvl>
  </w:abstractNum>
  <w:abstractNum w:abstractNumId="8">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9">
    <w:nsid w:val="FFFFFF88"/>
    <w:multiLevelType w:val="singleLevel"/>
    <w:tmpl w:val="91E6A02E"/>
    <w:lvl w:ilvl="0">
      <w:start w:val="1"/>
      <w:numFmt w:val="decimal"/>
      <w:lvlText w:val="%1."/>
      <w:lvlJc w:val="left"/>
      <w:pPr>
        <w:tabs>
          <w:tab w:val="num" w:pos="360"/>
        </w:tabs>
        <w:ind w:left="360" w:hanging="360"/>
      </w:pPr>
    </w:lvl>
  </w:abstractNum>
  <w:abstractNum w:abstractNumId="10">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1">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2">
    <w:nsid w:val="01067087"/>
    <w:multiLevelType w:val="hybridMultilevel"/>
    <w:tmpl w:val="76506ECA"/>
    <w:lvl w:ilvl="0" w:tplc="131C8B32">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5">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1"/>
  </w:num>
  <w:num w:numId="2">
    <w:abstractNumId w:val="19"/>
  </w:num>
  <w:num w:numId="3">
    <w:abstractNumId w:val="18"/>
  </w:num>
  <w:num w:numId="4">
    <w:abstractNumId w:val="13"/>
  </w:num>
  <w:num w:numId="5">
    <w:abstractNumId w:val="24"/>
  </w:num>
  <w:num w:numId="6">
    <w:abstractNumId w:val="16"/>
  </w:num>
  <w:num w:numId="7">
    <w:abstractNumId w:val="15"/>
  </w:num>
  <w:num w:numId="8">
    <w:abstractNumId w:val="21"/>
  </w:num>
  <w:num w:numId="9">
    <w:abstractNumId w:val="20"/>
  </w:num>
  <w:num w:numId="10">
    <w:abstractNumId w:val="17"/>
  </w:num>
  <w:num w:numId="11">
    <w:abstractNumId w:val="14"/>
  </w:num>
  <w:num w:numId="12">
    <w:abstractNumId w:val="25"/>
  </w:num>
  <w:num w:numId="13">
    <w:abstractNumId w:val="23"/>
  </w:num>
  <w:num w:numId="14">
    <w:abstractNumId w:val="22"/>
  </w:num>
  <w:num w:numId="15">
    <w:abstractNumId w:val="10"/>
  </w:num>
  <w:num w:numId="16">
    <w:abstractNumId w:val="8"/>
  </w:num>
  <w:num w:numId="17">
    <w:abstractNumId w:val="7"/>
  </w:num>
  <w:num w:numId="18">
    <w:abstractNumId w:val="6"/>
  </w:num>
  <w:num w:numId="19">
    <w:abstractNumId w:val="5"/>
  </w:num>
  <w:num w:numId="20">
    <w:abstractNumId w:val="9"/>
  </w:num>
  <w:num w:numId="21">
    <w:abstractNumId w:val="4"/>
  </w:num>
  <w:num w:numId="22">
    <w:abstractNumId w:val="3"/>
  </w:num>
  <w:num w:numId="23">
    <w:abstractNumId w:val="2"/>
  </w:num>
  <w:num w:numId="24">
    <w:abstractNumId w:val="1"/>
  </w:num>
  <w:num w:numId="25">
    <w:abstractNumId w:val="0"/>
  </w:num>
  <w:num w:numId="2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0"/>
  <w:printFractionalCharacterWidth/>
  <w:embedSystemFonts/>
  <w:activeWritingStyle w:appName="MSWord" w:lang="en-GB" w:vendorID="64" w:dllVersion="131078" w:nlCheck="1" w:checkStyle="1"/>
  <w:activeWritingStyle w:appName="MSWord" w:lang="en-US" w:vendorID="64" w:dllVersion="131078" w:nlCheck="1" w:checkStyle="1"/>
  <w:proofState w:spelling="clean" w:grammar="clean"/>
  <w:attachedTemplate r:id="rId1"/>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3B2E"/>
    <w:rsid w:val="00000AC2"/>
    <w:rsid w:val="00004AE4"/>
    <w:rsid w:val="000222BA"/>
    <w:rsid w:val="000773FA"/>
    <w:rsid w:val="00077D47"/>
    <w:rsid w:val="000850FC"/>
    <w:rsid w:val="00097E1A"/>
    <w:rsid w:val="00164386"/>
    <w:rsid w:val="00184AFA"/>
    <w:rsid w:val="00186BF2"/>
    <w:rsid w:val="001C5239"/>
    <w:rsid w:val="001C5E30"/>
    <w:rsid w:val="00207F31"/>
    <w:rsid w:val="002152A0"/>
    <w:rsid w:val="00216BE9"/>
    <w:rsid w:val="00262688"/>
    <w:rsid w:val="002C3C1F"/>
    <w:rsid w:val="002D0297"/>
    <w:rsid w:val="002F05B5"/>
    <w:rsid w:val="003118CE"/>
    <w:rsid w:val="003553E9"/>
    <w:rsid w:val="00393D0A"/>
    <w:rsid w:val="003E006D"/>
    <w:rsid w:val="003F12D4"/>
    <w:rsid w:val="003F7F94"/>
    <w:rsid w:val="004257EC"/>
    <w:rsid w:val="00440983"/>
    <w:rsid w:val="00440AD6"/>
    <w:rsid w:val="00474B2E"/>
    <w:rsid w:val="004C34C8"/>
    <w:rsid w:val="005326B5"/>
    <w:rsid w:val="00591F9D"/>
    <w:rsid w:val="005C306A"/>
    <w:rsid w:val="005E44C2"/>
    <w:rsid w:val="0060545B"/>
    <w:rsid w:val="0061690E"/>
    <w:rsid w:val="00676C91"/>
    <w:rsid w:val="00681A28"/>
    <w:rsid w:val="006868ED"/>
    <w:rsid w:val="00692A03"/>
    <w:rsid w:val="00697CAB"/>
    <w:rsid w:val="006B40AD"/>
    <w:rsid w:val="006D5C5B"/>
    <w:rsid w:val="006E470E"/>
    <w:rsid w:val="006E7A34"/>
    <w:rsid w:val="007168F7"/>
    <w:rsid w:val="00733640"/>
    <w:rsid w:val="0073482C"/>
    <w:rsid w:val="007977C9"/>
    <w:rsid w:val="007C7E5F"/>
    <w:rsid w:val="007D3061"/>
    <w:rsid w:val="007F13B2"/>
    <w:rsid w:val="00862343"/>
    <w:rsid w:val="0088670F"/>
    <w:rsid w:val="00887DD0"/>
    <w:rsid w:val="00896618"/>
    <w:rsid w:val="008B6050"/>
    <w:rsid w:val="008B6E9D"/>
    <w:rsid w:val="008C5789"/>
    <w:rsid w:val="008F0D65"/>
    <w:rsid w:val="00933AA0"/>
    <w:rsid w:val="00997B13"/>
    <w:rsid w:val="009A0329"/>
    <w:rsid w:val="009C1D61"/>
    <w:rsid w:val="009E1115"/>
    <w:rsid w:val="00A03753"/>
    <w:rsid w:val="00A27F55"/>
    <w:rsid w:val="00A41677"/>
    <w:rsid w:val="00A51EE2"/>
    <w:rsid w:val="00AB29B1"/>
    <w:rsid w:val="00AC0763"/>
    <w:rsid w:val="00B00A1C"/>
    <w:rsid w:val="00B226ED"/>
    <w:rsid w:val="00B75D81"/>
    <w:rsid w:val="00BB53C1"/>
    <w:rsid w:val="00BB5963"/>
    <w:rsid w:val="00BC62BF"/>
    <w:rsid w:val="00C47B70"/>
    <w:rsid w:val="00C5012B"/>
    <w:rsid w:val="00C53F6F"/>
    <w:rsid w:val="00C86E8A"/>
    <w:rsid w:val="00CC5766"/>
    <w:rsid w:val="00D04CB2"/>
    <w:rsid w:val="00D31BDD"/>
    <w:rsid w:val="00D86CC2"/>
    <w:rsid w:val="00DD47DA"/>
    <w:rsid w:val="00DD7403"/>
    <w:rsid w:val="00DE7294"/>
    <w:rsid w:val="00E7033D"/>
    <w:rsid w:val="00E93E28"/>
    <w:rsid w:val="00EC0BE2"/>
    <w:rsid w:val="00EE3B2E"/>
    <w:rsid w:val="00F05343"/>
    <w:rsid w:val="00F108A5"/>
    <w:rsid w:val="00F11913"/>
    <w:rsid w:val="00F22499"/>
    <w:rsid w:val="00F356E5"/>
    <w:rsid w:val="00FF010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201E524"/>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AJ">
    <w:name w:val="TAJ"/>
    <w:basedOn w:val="Normal"/>
    <w:pPr>
      <w:keepNext/>
      <w:keepLines/>
    </w:pPr>
    <w:rPr>
      <w:lang w:eastAsia="en-US"/>
    </w:rPr>
  </w:style>
  <w:style w:type="paragraph" w:customStyle="1" w:styleId="NO">
    <w:name w:val="NO"/>
    <w:basedOn w:val="Normal"/>
    <w:link w:val="NOChar"/>
    <w:pPr>
      <w:keepLines/>
      <w:ind w:left="1135" w:hanging="851"/>
    </w:p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link w:val="B1Char"/>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customStyle="1" w:styleId="B1Char">
    <w:name w:val="B1 Char"/>
    <w:link w:val="B1"/>
    <w:rsid w:val="00BB53C1"/>
    <w:rPr>
      <w:color w:val="000000"/>
      <w:lang w:val="en-GB" w:eastAsia="ja-JP"/>
    </w:rPr>
  </w:style>
  <w:style w:type="character" w:customStyle="1" w:styleId="NOChar">
    <w:name w:val="NO Char"/>
    <w:link w:val="NO"/>
    <w:rsid w:val="00BB53C1"/>
    <w:rPr>
      <w:color w:val="000000"/>
      <w:lang w:val="en-GB" w:eastAsia="ja-JP"/>
    </w:rPr>
  </w:style>
  <w:style w:type="character" w:customStyle="1" w:styleId="THChar">
    <w:name w:val="TH Char"/>
    <w:link w:val="TH"/>
    <w:rsid w:val="00BB53C1"/>
    <w:rPr>
      <w:rFonts w:ascii="Arial" w:hAnsi="Arial"/>
      <w:b/>
      <w:color w:val="000000"/>
      <w:lang w:val="en-GB" w:eastAsia="ja-JP"/>
    </w:rPr>
  </w:style>
  <w:style w:type="character" w:customStyle="1" w:styleId="TFChar">
    <w:name w:val="TF Char"/>
    <w:link w:val="TF"/>
    <w:rsid w:val="00BB53C1"/>
    <w:rPr>
      <w:rFonts w:ascii="Arial" w:hAnsi="Arial"/>
      <w:b/>
      <w:color w:val="000000"/>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AJ">
    <w:name w:val="TAJ"/>
    <w:basedOn w:val="Normal"/>
    <w:pPr>
      <w:keepNext/>
      <w:keepLines/>
    </w:pPr>
    <w:rPr>
      <w:lang w:eastAsia="en-US"/>
    </w:rPr>
  </w:style>
  <w:style w:type="paragraph" w:customStyle="1" w:styleId="NO">
    <w:name w:val="NO"/>
    <w:basedOn w:val="Normal"/>
    <w:link w:val="NOChar"/>
    <w:pPr>
      <w:keepLines/>
      <w:ind w:left="1135" w:hanging="851"/>
    </w:p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link w:val="B1Char"/>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customStyle="1" w:styleId="B1Char">
    <w:name w:val="B1 Char"/>
    <w:link w:val="B1"/>
    <w:rsid w:val="00BB53C1"/>
    <w:rPr>
      <w:color w:val="000000"/>
      <w:lang w:val="en-GB" w:eastAsia="ja-JP"/>
    </w:rPr>
  </w:style>
  <w:style w:type="character" w:customStyle="1" w:styleId="NOChar">
    <w:name w:val="NO Char"/>
    <w:link w:val="NO"/>
    <w:rsid w:val="00BB53C1"/>
    <w:rPr>
      <w:color w:val="000000"/>
      <w:lang w:val="en-GB" w:eastAsia="ja-JP"/>
    </w:rPr>
  </w:style>
  <w:style w:type="character" w:customStyle="1" w:styleId="THChar">
    <w:name w:val="TH Char"/>
    <w:link w:val="TH"/>
    <w:rsid w:val="00BB53C1"/>
    <w:rPr>
      <w:rFonts w:ascii="Arial" w:hAnsi="Arial"/>
      <w:b/>
      <w:color w:val="000000"/>
      <w:lang w:val="en-GB" w:eastAsia="ja-JP"/>
    </w:rPr>
  </w:style>
  <w:style w:type="character" w:customStyle="1" w:styleId="TFChar">
    <w:name w:val="TF Char"/>
    <w:link w:val="TF"/>
    <w:rsid w:val="00BB53C1"/>
    <w:rPr>
      <w:rFonts w:ascii="Arial" w:hAnsi="Arial"/>
      <w:b/>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1913661979">
      <w:bodyDiv w:val="1"/>
      <w:marLeft w:val="0"/>
      <w:marRight w:val="0"/>
      <w:marTop w:val="0"/>
      <w:marBottom w:val="0"/>
      <w:divBdr>
        <w:top w:val="none" w:sz="0" w:space="0" w:color="auto"/>
        <w:left w:val="none" w:sz="0" w:space="0" w:color="auto"/>
        <w:bottom w:val="none" w:sz="0" w:space="0" w:color="auto"/>
        <w:right w:val="none" w:sz="0" w:space="0" w:color="auto"/>
      </w:divBdr>
      <w:divsChild>
        <w:div w:id="891960075">
          <w:marLeft w:val="547"/>
          <w:marRight w:val="0"/>
          <w:marTop w:val="86"/>
          <w:marBottom w:val="0"/>
          <w:divBdr>
            <w:top w:val="none" w:sz="0" w:space="0" w:color="auto"/>
            <w:left w:val="none" w:sz="0" w:space="0" w:color="auto"/>
            <w:bottom w:val="none" w:sz="0" w:space="0" w:color="auto"/>
            <w:right w:val="none" w:sz="0" w:space="0" w:color="auto"/>
          </w:divBdr>
        </w:div>
        <w:div w:id="670067550">
          <w:marLeft w:val="547"/>
          <w:marRight w:val="0"/>
          <w:marTop w:val="86"/>
          <w:marBottom w:val="0"/>
          <w:divBdr>
            <w:top w:val="none" w:sz="0" w:space="0" w:color="auto"/>
            <w:left w:val="none" w:sz="0" w:space="0" w:color="auto"/>
            <w:bottom w:val="none" w:sz="0" w:space="0" w:color="auto"/>
            <w:right w:val="none" w:sz="0" w:space="0" w:color="auto"/>
          </w:divBdr>
        </w:div>
        <w:div w:id="1596206092">
          <w:marLeft w:val="547"/>
          <w:marRight w:val="0"/>
          <w:marTop w:val="86"/>
          <w:marBottom w:val="0"/>
          <w:divBdr>
            <w:top w:val="none" w:sz="0" w:space="0" w:color="auto"/>
            <w:left w:val="none" w:sz="0" w:space="0" w:color="auto"/>
            <w:bottom w:val="none" w:sz="0" w:space="0" w:color="auto"/>
            <w:right w:val="none" w:sz="0" w:space="0" w:color="auto"/>
          </w:divBdr>
        </w:div>
        <w:div w:id="936211289">
          <w:marLeft w:val="547"/>
          <w:marRight w:val="0"/>
          <w:marTop w:val="86"/>
          <w:marBottom w:val="0"/>
          <w:divBdr>
            <w:top w:val="none" w:sz="0" w:space="0" w:color="auto"/>
            <w:left w:val="none" w:sz="0" w:space="0" w:color="auto"/>
            <w:bottom w:val="none" w:sz="0" w:space="0" w:color="auto"/>
            <w:right w:val="none" w:sz="0" w:space="0" w:color="auto"/>
          </w:divBdr>
        </w:div>
        <w:div w:id="350767315">
          <w:marLeft w:val="547"/>
          <w:marRight w:val="0"/>
          <w:marTop w:val="86"/>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7</TotalTime>
  <Pages>2</Pages>
  <Words>379</Words>
  <Characters>2163</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2537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Curt Wong</cp:lastModifiedBy>
  <cp:revision>6</cp:revision>
  <cp:lastPrinted>2003-09-26T18:29:00Z</cp:lastPrinted>
  <dcterms:created xsi:type="dcterms:W3CDTF">2014-11-10T21:31:00Z</dcterms:created>
  <dcterms:modified xsi:type="dcterms:W3CDTF">2014-11-11T07:26:00Z</dcterms:modified>
</cp:coreProperties>
</file>